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南京邮电大学通达学院实验室空调器设备采购项目</w:t>
      </w: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项目编号：TDHQ2019045</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2019年10月</w:t>
      </w:r>
    </w:p>
    <w:p>
      <w:pPr>
        <w:pStyle w:val="25"/>
        <w:ind w:firstLine="0"/>
        <w:jc w:val="center"/>
        <w:rPr>
          <w:rFonts w:ascii="宋体" w:hAnsi="宋体" w:cs="宋体"/>
          <w:b/>
          <w:bCs/>
          <w:sz w:val="32"/>
        </w:rPr>
      </w:pPr>
    </w:p>
    <w:p>
      <w:pPr>
        <w:pStyle w:val="25"/>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513029200"/>
      <w:bookmarkStart w:id="2" w:name="_Toc523127445"/>
      <w:bookmarkStart w:id="3" w:name="_Toc16938516"/>
      <w:bookmarkStart w:id="4" w:name="_Toc20823272"/>
      <w:bookmarkStart w:id="5" w:name="_Toc479757206"/>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start="1"/>
          <w:cols w:space="720" w:num="1"/>
        </w:sectPr>
      </w:pPr>
    </w:p>
    <w:p>
      <w:pPr>
        <w:pStyle w:val="6"/>
        <w:ind w:firstLine="883"/>
        <w:jc w:val="center"/>
        <w:rPr>
          <w:rFonts w:cs="Times New Roman"/>
          <w:b/>
          <w:sz w:val="44"/>
          <w:szCs w:val="44"/>
        </w:rPr>
      </w:pPr>
      <w:r>
        <w:rPr>
          <w:rFonts w:hint="eastAsia"/>
          <w:b/>
          <w:sz w:val="44"/>
          <w:szCs w:val="44"/>
        </w:rPr>
        <w:t>第一章  采购公告</w:t>
      </w:r>
    </w:p>
    <w:p>
      <w:pPr>
        <w:pStyle w:val="3"/>
        <w:ind w:firstLine="0" w:firstLineChars="0"/>
        <w:rPr>
          <w:rFonts w:ascii="宋体" w:hAnsi="宋体"/>
          <w:sz w:val="24"/>
          <w:szCs w:val="24"/>
        </w:rPr>
      </w:pPr>
    </w:p>
    <w:p>
      <w:pPr>
        <w:pStyle w:val="3"/>
        <w:ind w:firstLine="0" w:firstLineChars="0"/>
        <w:rPr>
          <w:rFonts w:ascii="宋体" w:hAnsi="宋体"/>
          <w:sz w:val="24"/>
          <w:szCs w:val="24"/>
        </w:rPr>
      </w:pPr>
    </w:p>
    <w:p>
      <w:pPr>
        <w:pStyle w:val="10"/>
        <w:shd w:val="clear" w:color="auto" w:fill="FFFFFF"/>
        <w:spacing w:before="0" w:beforeAutospacing="0" w:after="0" w:afterAutospacing="0" w:line="276" w:lineRule="auto"/>
        <w:ind w:firstLine="420"/>
      </w:pPr>
      <w:r>
        <w:rPr>
          <w:rFonts w:hint="eastAsia"/>
        </w:rPr>
        <w:t>根据国家招投标的法律法规和南京邮电大学的相关规定，现对南京邮电大学通达学院实验室空调器设备采购项目进行公开招标采购，欢迎符合本次招标采购要求的企业参加投标。</w:t>
      </w:r>
    </w:p>
    <w:p>
      <w:pPr>
        <w:pStyle w:val="10"/>
        <w:shd w:val="clear" w:color="auto" w:fill="FFFFFF"/>
        <w:spacing w:before="0" w:beforeAutospacing="0" w:after="0" w:afterAutospacing="0" w:line="276" w:lineRule="auto"/>
        <w:ind w:firstLine="420"/>
      </w:pPr>
      <w:r>
        <w:rPr>
          <w:rFonts w:hint="eastAsia"/>
        </w:rPr>
        <w:t>一、采购项目名称编号及预算：南京邮电大学通达学院实验室空调器设备采购（项目编号TDHQ201904</w:t>
      </w:r>
      <w:r>
        <w:rPr>
          <w:rFonts w:hint="eastAsia"/>
          <w:lang w:val="en-US" w:eastAsia="zh-CN"/>
        </w:rPr>
        <w:t>5</w:t>
      </w:r>
      <w:r>
        <w:rPr>
          <w:rFonts w:hint="eastAsia"/>
        </w:rPr>
        <w:t>），预算为</w:t>
      </w:r>
      <w:r>
        <w:rPr>
          <w:rFonts w:hint="eastAsia"/>
          <w:lang w:val="en-US" w:eastAsia="zh-CN"/>
        </w:rPr>
        <w:t>12.8</w:t>
      </w:r>
      <w:r>
        <w:rPr>
          <w:rFonts w:hint="eastAsia"/>
        </w:rPr>
        <w:t>万。</w:t>
      </w:r>
    </w:p>
    <w:p>
      <w:pPr>
        <w:pStyle w:val="10"/>
        <w:shd w:val="clear" w:color="auto" w:fill="FFFFFF"/>
        <w:spacing w:before="0" w:beforeAutospacing="0" w:after="0" w:afterAutospacing="0" w:line="276" w:lineRule="auto"/>
        <w:ind w:firstLine="600" w:firstLineChars="250"/>
      </w:pPr>
      <w:r>
        <w:rPr>
          <w:rFonts w:hint="eastAsia"/>
        </w:rPr>
        <w:t>二、采购项目简要说明：1.南京邮电大学通达学院拟采购空调器一批（具体要求参见甲方采购文件）。2.项目地点：扬州市润扬南路33号。3.技术条款咨询联系人：时老师 ，联系电话：0514-89716022。（注：如不咨询，视为已理解该技术指标。）</w:t>
      </w:r>
    </w:p>
    <w:p>
      <w:pPr>
        <w:pStyle w:val="10"/>
        <w:shd w:val="clear" w:color="auto" w:fill="FFFFFF"/>
        <w:spacing w:before="0" w:beforeAutospacing="0" w:after="0" w:afterAutospacing="0" w:line="276" w:lineRule="auto"/>
        <w:ind w:firstLine="600" w:firstLineChars="250"/>
      </w:pPr>
      <w:r>
        <w:rPr>
          <w:rFonts w:hint="eastAsia"/>
        </w:rPr>
        <w:t>三、投标人资质要求</w:t>
      </w:r>
    </w:p>
    <w:p>
      <w:pPr>
        <w:pStyle w:val="10"/>
        <w:shd w:val="clear" w:color="auto" w:fill="FFFFFF"/>
        <w:spacing w:before="0" w:beforeAutospacing="0" w:after="0" w:afterAutospacing="0" w:line="276" w:lineRule="auto"/>
      </w:pPr>
      <w:r>
        <w:rPr>
          <w:rFonts w:hint="eastAsia"/>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276" w:lineRule="auto"/>
        <w:ind w:firstLine="523" w:firstLineChars="218"/>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line="276" w:lineRule="auto"/>
        <w:ind w:firstLine="523" w:firstLineChars="218"/>
        <w:rPr>
          <w:rFonts w:hint="eastAsia"/>
        </w:rPr>
      </w:pPr>
      <w:r>
        <w:rPr>
          <w:rFonts w:hint="eastAsia" w:cs="Times New Roman"/>
          <w:color w:val="000000"/>
        </w:rPr>
        <w:t>3、</w:t>
      </w:r>
      <w:r>
        <w:rPr>
          <w:rFonts w:hint="eastAsia"/>
        </w:rPr>
        <w:t xml:space="preserve">投标人未被“信用中国”（www.creditchina.gov.cn）或“诚信江苏”（www.jscredit.gov.cn）或中国政府采购网（www.ccgp.gov.cn）列入失信被执行人、重大税收违法案件当事人名单、政府采购严重失信行为记录名单，提供网页截图。  </w:t>
      </w:r>
    </w:p>
    <w:p>
      <w:pPr>
        <w:adjustRightInd w:val="0"/>
        <w:snapToGrid w:val="0"/>
        <w:spacing w:line="276" w:lineRule="auto"/>
        <w:ind w:firstLine="480" w:firstLineChars="200"/>
        <w:rPr>
          <w:rFonts w:ascii="宋体" w:hAnsi="宋体"/>
          <w:sz w:val="24"/>
          <w:szCs w:val="24"/>
        </w:rPr>
      </w:pPr>
      <w:r>
        <w:rPr>
          <w:rFonts w:hint="eastAsia" w:ascii="宋体" w:hAnsi="宋体"/>
          <w:color w:val="000000"/>
          <w:sz w:val="24"/>
          <w:szCs w:val="24"/>
        </w:rPr>
        <w:t>4、</w:t>
      </w:r>
      <w:r>
        <w:rPr>
          <w:rFonts w:hint="eastAsia" w:ascii="宋体" w:hAnsi="宋体"/>
          <w:sz w:val="24"/>
          <w:szCs w:val="24"/>
        </w:rPr>
        <w:t>本项目集中勘察现场安排：2019年10月28日上午10:00，南京邮电大学通达学院行政楼910（扬州市邗江区润扬南路33号），联系人：季老师（电话0514-89716086）。本项目只接受参加勘察现场的供应商投标。</w:t>
      </w:r>
      <w:r>
        <w:rPr>
          <w:rFonts w:hint="eastAsia"/>
          <w:bCs/>
        </w:rPr>
        <w:t xml:space="preserve"> </w:t>
      </w:r>
      <w:bookmarkStart w:id="50" w:name="_GoBack"/>
      <w:bookmarkEnd w:id="50"/>
    </w:p>
    <w:p>
      <w:pPr>
        <w:pStyle w:val="10"/>
        <w:shd w:val="clear" w:color="auto" w:fill="FFFFFF"/>
        <w:spacing w:before="0" w:beforeAutospacing="0" w:after="0" w:afterAutospacing="0" w:line="276" w:lineRule="auto"/>
        <w:ind w:firstLine="480" w:firstLineChars="200"/>
      </w:pPr>
      <w:r>
        <w:rPr>
          <w:rFonts w:hint="eastAsia"/>
        </w:rPr>
        <w:t>5、本项目不接受联合体投标。</w:t>
      </w:r>
    </w:p>
    <w:p>
      <w:pPr>
        <w:pStyle w:val="10"/>
        <w:shd w:val="clear" w:color="auto" w:fill="FFFFFF"/>
        <w:spacing w:before="0" w:beforeAutospacing="0" w:after="0" w:afterAutospacing="0" w:line="276" w:lineRule="auto"/>
      </w:pPr>
      <w:r>
        <w:rPr>
          <w:rFonts w:hint="eastAsia"/>
          <w:bCs/>
        </w:rPr>
        <w:t>四</w:t>
      </w:r>
      <w:r>
        <w:rPr>
          <w:rFonts w:hint="eastAsia"/>
          <w:b/>
          <w:bCs/>
        </w:rPr>
        <w:t>、</w:t>
      </w:r>
      <w:r>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276" w:lineRule="auto"/>
        <w:ind w:firstLine="480"/>
      </w:pPr>
      <w:r>
        <w:rPr>
          <w:rFonts w:hint="eastAsia"/>
        </w:rPr>
        <w:t>五、投标文件接收信息:投标文件接收截止时间：2019年10月31日 上午9时至 11时。地点：南京邮电大学通达学院行政中心9楼910办公室。 联系人：季老师， 联系电话：0514-89716086。 采购单位不接受邮寄、快递等投标，投标文件在投标截止时间后，一律不予退回。</w:t>
      </w:r>
    </w:p>
    <w:p>
      <w:pPr>
        <w:pStyle w:val="10"/>
        <w:shd w:val="clear" w:color="auto" w:fill="FFFFFF"/>
        <w:spacing w:before="0" w:beforeAutospacing="0" w:after="0" w:afterAutospacing="0" w:line="276" w:lineRule="auto"/>
        <w:ind w:firstLine="480"/>
      </w:pPr>
      <w:r>
        <w:rPr>
          <w:rFonts w:hint="eastAsia"/>
        </w:rPr>
        <w:t>六、开标有关信息 :  具体开标时间、地点，递交标书时另行通知。</w:t>
      </w:r>
    </w:p>
    <w:p>
      <w:pPr>
        <w:pStyle w:val="10"/>
        <w:shd w:val="clear" w:color="auto" w:fill="FFFFFF"/>
        <w:spacing w:before="0" w:beforeAutospacing="0" w:after="0" w:afterAutospacing="0" w:line="276" w:lineRule="auto"/>
        <w:ind w:firstLine="480"/>
      </w:pPr>
      <w:r>
        <w:rPr>
          <w:rFonts w:hint="eastAsia"/>
        </w:rPr>
        <w:t>七、缴纳费用：投标单位须在投标时缴纳100元标书费，1000元项目投标保证金。</w:t>
      </w:r>
    </w:p>
    <w:p>
      <w:pPr>
        <w:pStyle w:val="10"/>
        <w:shd w:val="clear" w:color="auto" w:fill="FFFFFF"/>
        <w:spacing w:before="0" w:beforeAutospacing="0" w:after="0" w:afterAutospacing="0" w:line="276" w:lineRule="auto"/>
        <w:ind w:firstLine="480"/>
      </w:pPr>
      <w:r>
        <w:rPr>
          <w:rFonts w:hint="eastAsia"/>
        </w:rPr>
        <w:t>八、本次招标联系事项: 联系人：</w:t>
      </w:r>
      <w:r>
        <w:rPr>
          <w:rFonts w:hint="eastAsia"/>
          <w:lang w:eastAsia="zh-CN"/>
        </w:rPr>
        <w:t>季</w:t>
      </w:r>
      <w:r>
        <w:rPr>
          <w:rFonts w:hint="eastAsia"/>
        </w:rPr>
        <w:t>老师， 联系电话：0514-8971608</w:t>
      </w:r>
      <w:r>
        <w:rPr>
          <w:rFonts w:hint="eastAsia"/>
          <w:lang w:val="en-US" w:eastAsia="zh-CN"/>
        </w:rPr>
        <w:t>6</w:t>
      </w:r>
      <w:r>
        <w:rPr>
          <w:rFonts w:hint="eastAsia"/>
        </w:rPr>
        <w:t xml:space="preserve">。   </w:t>
      </w:r>
    </w:p>
    <w:p>
      <w:pPr>
        <w:pStyle w:val="10"/>
        <w:shd w:val="clear" w:color="auto" w:fill="FFFFFF"/>
        <w:tabs>
          <w:tab w:val="left" w:pos="8087"/>
        </w:tabs>
        <w:spacing w:before="0" w:beforeAutospacing="0" w:after="0" w:afterAutospacing="0" w:line="276" w:lineRule="auto"/>
        <w:ind w:firstLine="480"/>
        <w:jc w:val="both"/>
      </w:pPr>
      <w:r>
        <w:tab/>
      </w:r>
    </w:p>
    <w:p>
      <w:pPr>
        <w:pStyle w:val="10"/>
        <w:shd w:val="clear" w:color="auto" w:fill="FFFFFF"/>
        <w:spacing w:before="0" w:beforeAutospacing="0" w:after="0" w:afterAutospacing="0" w:line="276" w:lineRule="auto"/>
        <w:ind w:firstLine="480"/>
        <w:jc w:val="right"/>
      </w:pPr>
      <w:r>
        <w:rPr>
          <w:rFonts w:hint="eastAsia"/>
        </w:rPr>
        <w:t xml:space="preserve">南京邮电大学通达学院后勤管理处　　                                                  </w:t>
      </w:r>
    </w:p>
    <w:p>
      <w:pPr>
        <w:pStyle w:val="10"/>
        <w:shd w:val="clear" w:color="auto" w:fill="FFFFFF"/>
        <w:spacing w:before="0" w:beforeAutospacing="0" w:after="0" w:afterAutospacing="0" w:line="276" w:lineRule="auto"/>
        <w:jc w:val="right"/>
      </w:pPr>
      <w:r>
        <w:rPr>
          <w:rFonts w:hint="eastAsia"/>
        </w:rPr>
        <w:t xml:space="preserve">                                                         二〇一九年十月二十</w:t>
      </w:r>
      <w:r>
        <w:rPr>
          <w:rFonts w:hint="eastAsia"/>
          <w:lang w:eastAsia="zh-CN"/>
        </w:rPr>
        <w:t>五</w:t>
      </w:r>
      <w:r>
        <w:rPr>
          <w:rFonts w:hint="eastAsia"/>
        </w:rPr>
        <w:t>日</w:t>
      </w:r>
    </w:p>
    <w:p>
      <w:pPr>
        <w:pStyle w:val="10"/>
        <w:shd w:val="clear" w:color="auto" w:fill="FFFFFF"/>
        <w:spacing w:before="0" w:beforeAutospacing="0" w:after="0" w:afterAutospacing="0"/>
        <w:jc w:val="right"/>
      </w:pP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bookmarkEnd w:id="0"/>
    <w:p>
      <w:pPr>
        <w:pStyle w:val="6"/>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20823274"/>
      <w:bookmarkStart w:id="8" w:name="_Toc16938518"/>
      <w:bookmarkStart w:id="9" w:name="_Toc513029202"/>
      <w:bookmarkStart w:id="10" w:name="_Toc120614213"/>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20614214"/>
      <w:bookmarkStart w:id="12" w:name="_Toc20823275"/>
      <w:bookmarkStart w:id="13" w:name="_Toc16938519"/>
      <w:bookmarkStart w:id="14"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20823314"/>
      <w:bookmarkStart w:id="16" w:name="_Toc479757207"/>
      <w:bookmarkStart w:id="17" w:name="_Toc16938558"/>
      <w:bookmarkStart w:id="18" w:name="_Toc513029242"/>
      <w:bookmarkStart w:id="19" w:name="_Toc120614221"/>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20823315"/>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1"/>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Hlt16619350"/>
      <w:bookmarkStart w:id="25" w:name="_Toc16938590"/>
      <w:bookmarkStart w:id="26" w:name="_Toc479757211"/>
      <w:bookmarkStart w:id="27" w:name="_Toc20823346"/>
      <w:bookmarkStart w:id="28" w:name="_Toc120614244"/>
      <w:bookmarkStart w:id="29" w:name="_Toc462564139"/>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6"/>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6"/>
        <w:jc w:val="center"/>
        <w:rPr>
          <w:b/>
          <w:sz w:val="44"/>
          <w:szCs w:val="44"/>
        </w:rPr>
      </w:pPr>
      <w:r>
        <w:rPr>
          <w:rFonts w:hint="eastAsia"/>
          <w:b/>
          <w:sz w:val="44"/>
          <w:szCs w:val="44"/>
        </w:rPr>
        <w:t>第四章 项目需求</w:t>
      </w:r>
    </w:p>
    <w:p>
      <w:pPr>
        <w:spacing w:beforeLines="50" w:line="440" w:lineRule="exact"/>
        <w:ind w:firstLine="562" w:firstLineChars="200"/>
        <w:rPr>
          <w:rFonts w:ascii="宋体" w:hAnsi="宋体"/>
          <w:sz w:val="28"/>
          <w:szCs w:val="28"/>
        </w:rPr>
      </w:pPr>
      <w:r>
        <w:rPr>
          <w:rFonts w:hint="eastAsia" w:ascii="宋体" w:hAnsi="宋体"/>
          <w:b/>
          <w:bCs/>
          <w:sz w:val="28"/>
          <w:szCs w:val="28"/>
        </w:rPr>
        <w:t>一、项目概述</w:t>
      </w:r>
      <w:r>
        <w:rPr>
          <w:rFonts w:hint="eastAsia" w:ascii="宋体" w:hAnsi="宋体"/>
          <w:sz w:val="28"/>
          <w:szCs w:val="28"/>
        </w:rPr>
        <w:t>：</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本项目为学院实验室</w:t>
      </w:r>
      <w:r>
        <w:rPr>
          <w:rFonts w:ascii="宋体" w:hAnsi="宋体"/>
          <w:color w:val="000000"/>
          <w:sz w:val="24"/>
          <w:szCs w:val="24"/>
        </w:rPr>
        <w:t>新建、扩建、改建</w:t>
      </w:r>
      <w:r>
        <w:rPr>
          <w:rFonts w:hint="eastAsia" w:ascii="宋体" w:hAnsi="宋体"/>
          <w:color w:val="000000"/>
          <w:sz w:val="24"/>
          <w:szCs w:val="24"/>
        </w:rPr>
        <w:t>等配套项目，各实验室需求情况详见下面表格。</w:t>
      </w:r>
    </w:p>
    <w:p>
      <w:pPr>
        <w:spacing w:afterLines="50" w:line="440" w:lineRule="exact"/>
        <w:ind w:firstLine="571" w:firstLineChars="238"/>
        <w:rPr>
          <w:rFonts w:ascii="宋体" w:hAnsi="宋体"/>
          <w:color w:val="000000"/>
          <w:sz w:val="24"/>
          <w:szCs w:val="24"/>
        </w:rPr>
      </w:pPr>
      <w:r>
        <w:rPr>
          <w:rFonts w:hint="eastAsia" w:ascii="宋体" w:hAnsi="宋体"/>
          <w:color w:val="000000"/>
          <w:sz w:val="24"/>
          <w:szCs w:val="24"/>
        </w:rPr>
        <w:t>本次采购项目，中标方应将货物送到招标方指定的地点，并实施安装。项目报价应包含设备的设计、制造、包装、仓储、运输装卸、保险、安装调试、辅助材料及验收合格之前发生的所有含税费用。投标方在标前需进行实地查看，对需移机的设备做合理的评估，迁移到指定地点设备能正常使用，所产生的维修、辅材等费用应包含在采购项目总价之中。</w:t>
      </w:r>
    </w:p>
    <w:tbl>
      <w:tblPr>
        <w:tblStyle w:val="11"/>
        <w:tblW w:w="8358" w:type="dxa"/>
        <w:tblInd w:w="93" w:type="dxa"/>
        <w:tblLayout w:type="autofit"/>
        <w:tblCellMar>
          <w:top w:w="0" w:type="dxa"/>
          <w:left w:w="108" w:type="dxa"/>
          <w:bottom w:w="0" w:type="dxa"/>
          <w:right w:w="108" w:type="dxa"/>
        </w:tblCellMar>
      </w:tblPr>
      <w:tblGrid>
        <w:gridCol w:w="720"/>
        <w:gridCol w:w="4220"/>
        <w:gridCol w:w="870"/>
        <w:gridCol w:w="756"/>
        <w:gridCol w:w="1080"/>
        <w:gridCol w:w="712"/>
      </w:tblGrid>
      <w:tr>
        <w:tblPrEx>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4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实验室</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3P柜</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2P挂</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1.2P挂</w:t>
            </w:r>
          </w:p>
        </w:tc>
        <w:tc>
          <w:tcPr>
            <w:tcW w:w="7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移机</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自控原理实验室（1#-1223）</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通信原理实验室（1#-1506）</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电工电子实验中心（1#-1401、1301）</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摄影摄像库房（1#-1611）</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演播实验室（1#-1612、1614）</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摄影棚（1#-1617）</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6"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办公室（1#）</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71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物理与光电实验中心（2#-2238）</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物理竞赛（2#-2403）</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商学院（2#-2405、2407）</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科协（2#-2501、2503）</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实验室（2#-2506）</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实验室（2#-2509、2511、2512）</w:t>
            </w:r>
          </w:p>
        </w:tc>
        <w:tc>
          <w:tcPr>
            <w:tcW w:w="8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电工实验室（3#）</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bl>
    <w:p>
      <w:pPr>
        <w:spacing w:beforeLines="50" w:line="480" w:lineRule="exact"/>
        <w:ind w:firstLine="562" w:firstLineChars="200"/>
        <w:rPr>
          <w:rFonts w:ascii="宋体" w:hAnsi="宋体"/>
          <w:b/>
          <w:bCs/>
          <w:sz w:val="28"/>
          <w:szCs w:val="28"/>
        </w:rPr>
      </w:pPr>
      <w:r>
        <w:rPr>
          <w:rFonts w:hint="eastAsia" w:ascii="宋体" w:hAnsi="宋体"/>
          <w:b/>
          <w:bCs/>
          <w:sz w:val="28"/>
          <w:szCs w:val="28"/>
        </w:rPr>
        <w:t>二、产品主要技术指标和要求：</w:t>
      </w:r>
    </w:p>
    <w:p>
      <w:pPr>
        <w:spacing w:line="480" w:lineRule="exact"/>
        <w:ind w:firstLine="573" w:firstLineChars="238"/>
        <w:rPr>
          <w:rFonts w:ascii="宋体" w:hAnsi="宋体"/>
          <w:b/>
          <w:color w:val="000000"/>
          <w:sz w:val="24"/>
          <w:szCs w:val="24"/>
        </w:rPr>
      </w:pPr>
      <w:r>
        <w:rPr>
          <w:rFonts w:hint="eastAsia"/>
          <w:b/>
          <w:color w:val="000000"/>
          <w:sz w:val="24"/>
          <w:szCs w:val="24"/>
        </w:rPr>
        <w:t>1. 3P</w:t>
      </w:r>
      <w:r>
        <w:rPr>
          <w:rFonts w:hint="eastAsia" w:ascii="宋体" w:hAnsi="宋体"/>
          <w:b/>
          <w:color w:val="000000"/>
          <w:sz w:val="24"/>
          <w:szCs w:val="24"/>
        </w:rPr>
        <w:t>空调（立柜式冷暖型空调）</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A能效:能效比≥3.0,能效等级≤3。</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B电源性能：电压220V /频率50Hz。</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C制冷:额定制冷量≥7200W，额定制冷功率≥2300W，额定制冷电流≤11.6A。</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D制热:支持电辅加热。额定制热量≥8200W，电辅制热量≥2400W；额定制热功率≥2400W，电辅制热功率≥2400W；额定制热电流≤11.8A，电辅制热电流≤11.8A。</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E噪音水平：室内机运行最大风速时噪音≤37db,室外机运行最大风速时噪音≤56db。</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F循环风量≥1100m</w:t>
      </w:r>
      <w:r>
        <w:rPr>
          <w:rFonts w:hint="eastAsia" w:ascii="宋体" w:hAnsi="宋体"/>
          <w:color w:val="000000"/>
          <w:sz w:val="24"/>
          <w:szCs w:val="24"/>
          <w:vertAlign w:val="superscript"/>
        </w:rPr>
        <w:t>3</w:t>
      </w:r>
      <w:r>
        <w:rPr>
          <w:rFonts w:hint="eastAsia" w:ascii="宋体" w:hAnsi="宋体"/>
          <w:color w:val="000000"/>
          <w:sz w:val="24"/>
          <w:szCs w:val="24"/>
        </w:rPr>
        <w:t>/h。</w:t>
      </w:r>
    </w:p>
    <w:p>
      <w:pPr>
        <w:spacing w:beforeLines="50" w:line="440" w:lineRule="exact"/>
        <w:ind w:firstLine="573" w:firstLineChars="238"/>
        <w:rPr>
          <w:rFonts w:ascii="宋体" w:hAnsi="宋体"/>
          <w:b/>
          <w:color w:val="000000"/>
          <w:sz w:val="24"/>
          <w:szCs w:val="24"/>
        </w:rPr>
      </w:pPr>
      <w:r>
        <w:rPr>
          <w:rFonts w:hint="eastAsia" w:ascii="宋体" w:hAnsi="宋体"/>
          <w:b/>
          <w:color w:val="000000"/>
          <w:sz w:val="24"/>
          <w:szCs w:val="24"/>
        </w:rPr>
        <w:t xml:space="preserve">2. </w:t>
      </w:r>
      <w:r>
        <w:rPr>
          <w:rFonts w:hint="eastAsia"/>
          <w:b/>
          <w:color w:val="000000"/>
          <w:sz w:val="24"/>
          <w:szCs w:val="24"/>
        </w:rPr>
        <w:t>2P</w:t>
      </w:r>
      <w:r>
        <w:rPr>
          <w:rFonts w:hint="eastAsia" w:ascii="宋体" w:hAnsi="宋体"/>
          <w:b/>
          <w:color w:val="000000"/>
          <w:sz w:val="24"/>
          <w:szCs w:val="24"/>
        </w:rPr>
        <w:t>空调（壁挂式冷暖型空调）</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A能效:能效比≥3.10,能效等级≤3。</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B电源性能：电压220V /频率50Hz。</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C制冷:额定制冷量≥5000W，额定制冷功率≥1500W，额定制冷电流≤7.5。</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D制热:支持电辅加热。额定制热量≥5800W，电辅制热量≥1200W；额定制热功率≥1700W，电辅制热功率≥1200W；额定制热电流≤8.2A，电辅制热电流≤6.8A。</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E噪音水平：室内机运行最大风速时噪音≤31db,室外机运行最大风速时噪音≤53db。</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F循环风量≥900m</w:t>
      </w:r>
      <w:r>
        <w:rPr>
          <w:rFonts w:hint="eastAsia" w:ascii="宋体" w:hAnsi="宋体"/>
          <w:color w:val="000000"/>
          <w:sz w:val="24"/>
          <w:szCs w:val="24"/>
          <w:vertAlign w:val="superscript"/>
        </w:rPr>
        <w:t>3</w:t>
      </w:r>
      <w:r>
        <w:rPr>
          <w:rFonts w:hint="eastAsia" w:ascii="宋体" w:hAnsi="宋体"/>
          <w:color w:val="000000"/>
          <w:sz w:val="24"/>
          <w:szCs w:val="24"/>
        </w:rPr>
        <w:t>/h。</w:t>
      </w:r>
    </w:p>
    <w:p>
      <w:pPr>
        <w:spacing w:beforeLines="50" w:line="440" w:lineRule="exact"/>
        <w:ind w:firstLine="573" w:firstLineChars="238"/>
        <w:rPr>
          <w:rFonts w:ascii="宋体" w:hAnsi="宋体"/>
          <w:b/>
          <w:color w:val="000000"/>
          <w:sz w:val="24"/>
          <w:szCs w:val="24"/>
        </w:rPr>
      </w:pPr>
      <w:r>
        <w:rPr>
          <w:rFonts w:hint="eastAsia" w:ascii="宋体" w:hAnsi="宋体"/>
          <w:b/>
          <w:color w:val="000000"/>
          <w:sz w:val="24"/>
          <w:szCs w:val="24"/>
        </w:rPr>
        <w:t xml:space="preserve">3. </w:t>
      </w:r>
      <w:r>
        <w:rPr>
          <w:rFonts w:hint="eastAsia"/>
          <w:b/>
          <w:color w:val="000000"/>
          <w:sz w:val="24"/>
          <w:szCs w:val="24"/>
        </w:rPr>
        <w:t>1.2P</w:t>
      </w:r>
      <w:r>
        <w:rPr>
          <w:rFonts w:hint="eastAsia" w:ascii="宋体" w:hAnsi="宋体"/>
          <w:b/>
          <w:color w:val="000000"/>
          <w:sz w:val="24"/>
          <w:szCs w:val="24"/>
        </w:rPr>
        <w:t>空调（壁挂式冷暖型空调）</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A能效:能效比≥3.2，能效等级≤3。</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B电源性能：电压220V /频率50Hz。</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C制冷:额定制冷量≥2700W，额定制冷功率≥800W，额定制冷电流≤4.0</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D制热:支持电辅加热。额定制热量≥2900W，电辅制热量≥1000W；额定制热功率≥820W，电辅制热功率≥1000W；额定制热电流≤4.0A，电辅制热电流≤5.0A。</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E噪音水平：室内机运行最大风速时噪音≤22db,室外机运行最大风速时噪音≤49db。</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F循环风量≥550m</w:t>
      </w:r>
      <w:r>
        <w:rPr>
          <w:rFonts w:hint="eastAsia" w:ascii="宋体" w:hAnsi="宋体"/>
          <w:color w:val="000000"/>
          <w:sz w:val="24"/>
          <w:szCs w:val="24"/>
          <w:vertAlign w:val="superscript"/>
        </w:rPr>
        <w:t>3</w:t>
      </w:r>
      <w:r>
        <w:rPr>
          <w:rFonts w:hint="eastAsia" w:ascii="宋体" w:hAnsi="宋体"/>
          <w:color w:val="000000"/>
          <w:sz w:val="24"/>
          <w:szCs w:val="24"/>
        </w:rPr>
        <w:t>/h。</w:t>
      </w:r>
    </w:p>
    <w:p>
      <w:pPr>
        <w:spacing w:beforeLines="50" w:line="440" w:lineRule="exact"/>
        <w:ind w:firstLine="573" w:firstLineChars="238"/>
        <w:rPr>
          <w:rFonts w:ascii="宋体" w:hAnsi="宋体"/>
          <w:color w:val="000000"/>
          <w:sz w:val="24"/>
          <w:szCs w:val="24"/>
        </w:rPr>
      </w:pPr>
      <w:r>
        <w:rPr>
          <w:rFonts w:hint="eastAsia" w:ascii="宋体" w:hAnsi="宋体"/>
          <w:b/>
          <w:color w:val="000000"/>
          <w:sz w:val="24"/>
          <w:szCs w:val="24"/>
        </w:rPr>
        <w:t>4.请提供产品的说明书。</w:t>
      </w:r>
      <w:r>
        <w:rPr>
          <w:rFonts w:hint="eastAsia" w:ascii="宋体" w:hAnsi="宋体"/>
          <w:color w:val="000000"/>
          <w:sz w:val="24"/>
          <w:szCs w:val="24"/>
        </w:rPr>
        <w:t>空调室内外机的制冷量、制热量、输入功率、风量、最大运行噪音等与本章设备规格表中的规定值负偏离不得超过10</w:t>
      </w:r>
      <w:r>
        <w:rPr>
          <w:rFonts w:ascii="宋体" w:hAnsi="宋体"/>
          <w:color w:val="000000"/>
          <w:sz w:val="24"/>
          <w:szCs w:val="24"/>
        </w:rPr>
        <w:t>％。</w:t>
      </w:r>
    </w:p>
    <w:p>
      <w:pPr>
        <w:spacing w:beforeLines="50" w:line="480" w:lineRule="exact"/>
        <w:ind w:firstLine="562" w:firstLineChars="200"/>
        <w:rPr>
          <w:rFonts w:ascii="宋体" w:hAnsi="宋体"/>
          <w:b/>
          <w:color w:val="000000"/>
          <w:sz w:val="24"/>
          <w:szCs w:val="24"/>
        </w:rPr>
      </w:pPr>
      <w:r>
        <w:rPr>
          <w:rFonts w:hint="eastAsia" w:ascii="宋体" w:hAnsi="宋体"/>
          <w:b/>
          <w:bCs/>
          <w:sz w:val="28"/>
          <w:szCs w:val="28"/>
        </w:rPr>
        <w:t>三、吊篮或支架（提供样品）</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1.要求采用镀锌钢材质，固定螺丝为不锈钢材质。</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2.总体要求结实、美观，色调统一，风格一致，并与空调主色调协调。</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3.能够承载空调自重及安装、检修的负重需要，便于安装。</w:t>
      </w:r>
    </w:p>
    <w:p>
      <w:pPr>
        <w:spacing w:line="440" w:lineRule="exact"/>
        <w:ind w:firstLine="571" w:firstLineChars="238"/>
        <w:rPr>
          <w:rFonts w:ascii="宋体" w:hAnsi="宋体"/>
          <w:color w:val="000000"/>
          <w:sz w:val="24"/>
          <w:szCs w:val="24"/>
        </w:rPr>
      </w:pPr>
      <w:r>
        <w:rPr>
          <w:rFonts w:hint="eastAsia" w:ascii="宋体" w:hAnsi="宋体"/>
          <w:color w:val="000000"/>
          <w:sz w:val="24"/>
          <w:szCs w:val="24"/>
        </w:rPr>
        <w:t>4.样品与投标文件一同送达，中标后留存。</w:t>
      </w:r>
    </w:p>
    <w:p>
      <w:pPr>
        <w:spacing w:beforeLines="50" w:line="480" w:lineRule="exact"/>
        <w:ind w:firstLine="562" w:firstLineChars="200"/>
        <w:rPr>
          <w:rFonts w:ascii="宋体" w:hAnsi="宋体"/>
          <w:b/>
          <w:bCs/>
          <w:sz w:val="28"/>
          <w:szCs w:val="28"/>
        </w:rPr>
      </w:pPr>
      <w:r>
        <w:rPr>
          <w:rFonts w:hint="eastAsia" w:ascii="宋体" w:hAnsi="宋体"/>
          <w:b/>
          <w:bCs/>
          <w:sz w:val="28"/>
          <w:szCs w:val="28"/>
        </w:rPr>
        <w:t>四、移机</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本采购项目包含3台壁挂式空调移机，所产生的一切费用应包含在采购项目的总价中。</w:t>
      </w:r>
    </w:p>
    <w:p>
      <w:pPr>
        <w:numPr>
          <w:ilvl w:val="0"/>
          <w:numId w:val="2"/>
        </w:numPr>
        <w:spacing w:beforeLines="50" w:line="480" w:lineRule="exact"/>
        <w:ind w:firstLine="562" w:firstLineChars="200"/>
        <w:rPr>
          <w:rFonts w:hint="eastAsia" w:ascii="宋体" w:hAnsi="宋体"/>
          <w:b/>
          <w:bCs/>
          <w:sz w:val="28"/>
          <w:szCs w:val="28"/>
        </w:rPr>
      </w:pPr>
      <w:r>
        <w:rPr>
          <w:rFonts w:hint="eastAsia" w:ascii="宋体" w:hAnsi="宋体"/>
          <w:b/>
          <w:bCs/>
          <w:sz w:val="28"/>
          <w:szCs w:val="28"/>
        </w:rPr>
        <w:t>采购项目清单：</w:t>
      </w:r>
    </w:p>
    <w:tbl>
      <w:tblPr>
        <w:tblStyle w:val="12"/>
        <w:tblW w:w="8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207"/>
        <w:gridCol w:w="1360"/>
        <w:gridCol w:w="882"/>
        <w:gridCol w:w="867"/>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2207"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设备名称</w:t>
            </w:r>
          </w:p>
        </w:tc>
        <w:tc>
          <w:tcPr>
            <w:tcW w:w="1360"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型号规格</w:t>
            </w:r>
          </w:p>
        </w:tc>
        <w:tc>
          <w:tcPr>
            <w:tcW w:w="882"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数量</w:t>
            </w:r>
          </w:p>
        </w:tc>
        <w:tc>
          <w:tcPr>
            <w:tcW w:w="867"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p>
        </w:tc>
        <w:tc>
          <w:tcPr>
            <w:tcW w:w="2075"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w:t>
            </w:r>
          </w:p>
        </w:tc>
        <w:tc>
          <w:tcPr>
            <w:tcW w:w="2207" w:type="dxa"/>
            <w:vAlign w:val="center"/>
          </w:tcPr>
          <w:p>
            <w:pPr>
              <w:spacing w:line="44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立柜式冷暖型空调</w:t>
            </w:r>
          </w:p>
        </w:tc>
        <w:tc>
          <w:tcPr>
            <w:tcW w:w="1360"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3P，220V</w:t>
            </w:r>
          </w:p>
        </w:tc>
        <w:tc>
          <w:tcPr>
            <w:tcW w:w="882"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17</w:t>
            </w:r>
          </w:p>
        </w:tc>
        <w:tc>
          <w:tcPr>
            <w:tcW w:w="867"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台</w:t>
            </w:r>
          </w:p>
        </w:tc>
        <w:tc>
          <w:tcPr>
            <w:tcW w:w="2075"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格力、美的、海尔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2</w:t>
            </w:r>
          </w:p>
        </w:tc>
        <w:tc>
          <w:tcPr>
            <w:tcW w:w="2207" w:type="dxa"/>
            <w:vAlign w:val="center"/>
          </w:tcPr>
          <w:p>
            <w:pPr>
              <w:spacing w:line="44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壁挂式冷暖型空调</w:t>
            </w:r>
          </w:p>
        </w:tc>
        <w:tc>
          <w:tcPr>
            <w:tcW w:w="1360"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2P，220V</w:t>
            </w:r>
          </w:p>
        </w:tc>
        <w:tc>
          <w:tcPr>
            <w:tcW w:w="882"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5</w:t>
            </w:r>
          </w:p>
        </w:tc>
        <w:tc>
          <w:tcPr>
            <w:tcW w:w="867"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台</w:t>
            </w:r>
          </w:p>
        </w:tc>
        <w:tc>
          <w:tcPr>
            <w:tcW w:w="2075"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格力、美的、海尔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p>
        </w:tc>
        <w:tc>
          <w:tcPr>
            <w:tcW w:w="2207" w:type="dxa"/>
            <w:vAlign w:val="center"/>
          </w:tcPr>
          <w:p>
            <w:pPr>
              <w:spacing w:line="44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壁挂式冷暖型空调</w:t>
            </w:r>
          </w:p>
        </w:tc>
        <w:tc>
          <w:tcPr>
            <w:tcW w:w="1360"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1.2P，220V</w:t>
            </w:r>
          </w:p>
        </w:tc>
        <w:tc>
          <w:tcPr>
            <w:tcW w:w="882"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9</w:t>
            </w:r>
          </w:p>
        </w:tc>
        <w:tc>
          <w:tcPr>
            <w:tcW w:w="867"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台</w:t>
            </w:r>
          </w:p>
        </w:tc>
        <w:tc>
          <w:tcPr>
            <w:tcW w:w="2075"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格力、美的、海尔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4</w:t>
            </w:r>
          </w:p>
        </w:tc>
        <w:tc>
          <w:tcPr>
            <w:tcW w:w="2207" w:type="dxa"/>
            <w:vAlign w:val="center"/>
          </w:tcPr>
          <w:p>
            <w:pPr>
              <w:spacing w:line="44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移机</w:t>
            </w:r>
          </w:p>
        </w:tc>
        <w:tc>
          <w:tcPr>
            <w:tcW w:w="1360" w:type="dxa"/>
            <w:vAlign w:val="center"/>
          </w:tcPr>
          <w:p>
            <w:pPr>
              <w:spacing w:line="440" w:lineRule="exact"/>
              <w:jc w:val="center"/>
              <w:rPr>
                <w:rFonts w:ascii="宋体" w:hAnsi="宋体" w:eastAsia="宋体" w:cs="Times New Roman"/>
                <w:color w:val="000000"/>
                <w:sz w:val="24"/>
                <w:szCs w:val="24"/>
              </w:rPr>
            </w:pPr>
          </w:p>
        </w:tc>
        <w:tc>
          <w:tcPr>
            <w:tcW w:w="882"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p>
        </w:tc>
        <w:tc>
          <w:tcPr>
            <w:tcW w:w="867"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台</w:t>
            </w:r>
          </w:p>
        </w:tc>
        <w:tc>
          <w:tcPr>
            <w:tcW w:w="2075" w:type="dxa"/>
            <w:vAlign w:val="center"/>
          </w:tcPr>
          <w:p>
            <w:pPr>
              <w:spacing w:line="440" w:lineRule="exac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5</w:t>
            </w:r>
          </w:p>
        </w:tc>
        <w:tc>
          <w:tcPr>
            <w:tcW w:w="2207" w:type="dxa"/>
            <w:vAlign w:val="center"/>
          </w:tcPr>
          <w:p>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辅材</w:t>
            </w:r>
          </w:p>
        </w:tc>
        <w:tc>
          <w:tcPr>
            <w:tcW w:w="1360" w:type="dxa"/>
            <w:vAlign w:val="center"/>
          </w:tcPr>
          <w:p>
            <w:pPr>
              <w:spacing w:line="440" w:lineRule="exact"/>
              <w:jc w:val="center"/>
              <w:rPr>
                <w:rFonts w:ascii="宋体" w:hAnsi="宋体" w:eastAsia="宋体" w:cs="Times New Roman"/>
                <w:color w:val="000000"/>
                <w:sz w:val="24"/>
                <w:szCs w:val="24"/>
              </w:rPr>
            </w:pPr>
          </w:p>
        </w:tc>
        <w:tc>
          <w:tcPr>
            <w:tcW w:w="882"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w:t>
            </w:r>
          </w:p>
        </w:tc>
        <w:tc>
          <w:tcPr>
            <w:tcW w:w="867" w:type="dxa"/>
            <w:vAlign w:val="center"/>
          </w:tcPr>
          <w:p>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批</w:t>
            </w:r>
          </w:p>
        </w:tc>
        <w:tc>
          <w:tcPr>
            <w:tcW w:w="2075" w:type="dxa"/>
            <w:vAlign w:val="center"/>
          </w:tcPr>
          <w:p>
            <w:pPr>
              <w:spacing w:line="440" w:lineRule="exact"/>
              <w:jc w:val="center"/>
              <w:rPr>
                <w:rFonts w:ascii="宋体" w:hAnsi="宋体" w:eastAsia="宋体" w:cs="Times New Roman"/>
                <w:color w:val="000000"/>
                <w:sz w:val="24"/>
                <w:szCs w:val="24"/>
              </w:rPr>
            </w:pPr>
          </w:p>
        </w:tc>
      </w:tr>
    </w:tbl>
    <w:p>
      <w:pPr>
        <w:numPr>
          <w:numId w:val="0"/>
        </w:numPr>
        <w:spacing w:beforeLines="50" w:line="480" w:lineRule="exact"/>
        <w:rPr>
          <w:rFonts w:hint="eastAsia" w:ascii="宋体" w:hAnsi="宋体"/>
          <w:b/>
          <w:bCs/>
          <w:sz w:val="28"/>
          <w:szCs w:val="28"/>
        </w:rPr>
      </w:pPr>
    </w:p>
    <w:p>
      <w:pPr>
        <w:spacing w:beforeLines="50" w:line="480" w:lineRule="exact"/>
        <w:ind w:firstLine="562" w:firstLineChars="200"/>
        <w:rPr>
          <w:rFonts w:ascii="宋体" w:hAnsi="宋体"/>
          <w:b/>
          <w:bCs/>
          <w:sz w:val="28"/>
          <w:szCs w:val="28"/>
        </w:rPr>
      </w:pPr>
      <w:r>
        <w:rPr>
          <w:rFonts w:hint="eastAsia" w:ascii="宋体" w:hAnsi="宋体"/>
          <w:b/>
          <w:bCs/>
          <w:sz w:val="28"/>
          <w:szCs w:val="28"/>
        </w:rPr>
        <w:t>六、其他要求</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1.安装时空调所有附件均无偿提供（请投标人自行考察现场，测算附件及材料成本），投标报价应考虑此因素。</w:t>
      </w:r>
    </w:p>
    <w:p>
      <w:pPr>
        <w:tabs>
          <w:tab w:val="left" w:pos="0"/>
        </w:tabs>
        <w:spacing w:line="440" w:lineRule="exact"/>
        <w:ind w:firstLine="480" w:firstLineChars="200"/>
        <w:rPr>
          <w:rFonts w:ascii="宋体" w:hAnsi="宋体"/>
          <w:color w:val="000000"/>
          <w:sz w:val="24"/>
          <w:szCs w:val="24"/>
        </w:rPr>
      </w:pPr>
      <w:r>
        <w:rPr>
          <w:rFonts w:hint="eastAsia" w:ascii="宋体" w:hAnsi="宋体"/>
          <w:color w:val="000000"/>
          <w:sz w:val="24"/>
          <w:szCs w:val="24"/>
        </w:rPr>
        <w:t>2.室内机至室外机电源线、连接铜管须为原厂配置且不允许驳接。制冷管道包扎两层扎带。外露制冷管道应使用一个不锈钢管码固定，并且应紧贴墙壁、美观。开凿墙孔应圆滑、不破坏墙外观，室内套开孔管套、并用橡胶泥填封。</w:t>
      </w:r>
    </w:p>
    <w:p>
      <w:pPr>
        <w:tabs>
          <w:tab w:val="left" w:pos="0"/>
        </w:tabs>
        <w:spacing w:line="440" w:lineRule="exact"/>
        <w:ind w:firstLine="480" w:firstLineChars="200"/>
        <w:rPr>
          <w:rFonts w:ascii="宋体" w:hAnsi="宋体"/>
          <w:color w:val="000000"/>
          <w:sz w:val="24"/>
          <w:szCs w:val="24"/>
        </w:rPr>
      </w:pPr>
      <w:r>
        <w:rPr>
          <w:rFonts w:hint="eastAsia" w:ascii="宋体" w:hAnsi="宋体"/>
          <w:color w:val="000000"/>
          <w:sz w:val="24"/>
          <w:szCs w:val="24"/>
        </w:rPr>
        <w:t>3.中标方必须严格遵守招标方的规章制度，文明施工，礼貌待人，保护施工场所内的物品。</w:t>
      </w:r>
    </w:p>
    <w:p>
      <w:pPr>
        <w:tabs>
          <w:tab w:val="left" w:pos="0"/>
        </w:tabs>
        <w:spacing w:line="440" w:lineRule="exact"/>
        <w:ind w:firstLine="480" w:firstLineChars="200"/>
        <w:rPr>
          <w:rFonts w:ascii="宋体" w:hAnsi="宋体"/>
          <w:color w:val="000000"/>
          <w:sz w:val="24"/>
          <w:szCs w:val="24"/>
        </w:rPr>
      </w:pPr>
      <w:r>
        <w:rPr>
          <w:rFonts w:hint="eastAsia" w:ascii="宋体" w:hAnsi="宋体"/>
          <w:color w:val="000000"/>
          <w:sz w:val="24"/>
          <w:szCs w:val="24"/>
        </w:rPr>
        <w:t>4.中标方施工人员施工期间应服从招标方的安全管理，施工人员的安全、施工中所造成的一切安全事故及施工中涉及的物品安全等均由中标方全部负责，招标方不承担项目实施过程中所产生的任何安全责任。</w:t>
      </w:r>
    </w:p>
    <w:p>
      <w:pPr>
        <w:tabs>
          <w:tab w:val="left" w:pos="0"/>
        </w:tabs>
        <w:spacing w:line="440" w:lineRule="exact"/>
        <w:ind w:firstLine="480" w:firstLineChars="200"/>
        <w:rPr>
          <w:rFonts w:ascii="宋体" w:hAnsi="宋体"/>
          <w:color w:val="000000"/>
          <w:sz w:val="24"/>
          <w:szCs w:val="24"/>
        </w:rPr>
      </w:pPr>
      <w:r>
        <w:rPr>
          <w:rFonts w:hint="eastAsia" w:ascii="宋体" w:hAnsi="宋体"/>
          <w:color w:val="000000"/>
          <w:sz w:val="24"/>
          <w:szCs w:val="24"/>
        </w:rPr>
        <w:t>5.未列明事项，按空调安装规范执行。</w:t>
      </w:r>
    </w:p>
    <w:p>
      <w:pPr>
        <w:spacing w:line="520" w:lineRule="exact"/>
        <w:rPr>
          <w:b/>
          <w:sz w:val="28"/>
          <w:szCs w:val="28"/>
        </w:rPr>
      </w:pPr>
      <w:r>
        <w:rPr>
          <w:rFonts w:hint="eastAsia"/>
          <w:b/>
          <w:sz w:val="32"/>
        </w:rPr>
        <w:t>七、商务条款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1、本项目所采购设备，中标方必须承诺免费运送至南邮通达学院扬州校区(扬州市邗江区润扬南路33号)指定地点并按要求安装到位。</w:t>
      </w:r>
    </w:p>
    <w:p>
      <w:pPr>
        <w:spacing w:line="360" w:lineRule="auto"/>
        <w:ind w:firstLine="480" w:firstLineChars="200"/>
        <w:rPr>
          <w:rFonts w:ascii="宋体" w:hAnsi="宋体"/>
          <w:kern w:val="0"/>
          <w:sz w:val="24"/>
        </w:rPr>
      </w:pPr>
      <w:r>
        <w:rPr>
          <w:rFonts w:hint="eastAsia" w:ascii="宋体" w:hAnsi="宋体" w:cs="宋体"/>
          <w:sz w:val="24"/>
          <w:szCs w:val="24"/>
        </w:rPr>
        <w:t>2、质保期及售后服务要求:</w:t>
      </w:r>
      <w:r>
        <w:rPr>
          <w:rFonts w:hint="eastAsia"/>
          <w:sz w:val="24"/>
        </w:rPr>
        <w:t xml:space="preserve"> 处理故障响应时间小于</w:t>
      </w:r>
      <w:r>
        <w:rPr>
          <w:sz w:val="24"/>
        </w:rPr>
        <w:t>24</w:t>
      </w:r>
      <w:r>
        <w:rPr>
          <w:rFonts w:hint="eastAsia"/>
          <w:sz w:val="24"/>
        </w:rPr>
        <w:t>小时</w:t>
      </w:r>
      <w:r>
        <w:rPr>
          <w:rFonts w:hint="eastAsia" w:ascii="宋体" w:hAnsi="宋体"/>
          <w:kern w:val="0"/>
          <w:sz w:val="24"/>
        </w:rPr>
        <w:t>，保修6年（含）以上，全免保修。</w:t>
      </w:r>
    </w:p>
    <w:p>
      <w:pPr>
        <w:spacing w:line="440" w:lineRule="exact"/>
        <w:ind w:firstLine="566" w:firstLineChars="236"/>
        <w:rPr>
          <w:rFonts w:ascii="宋体" w:hAnsi="宋体"/>
          <w:color w:val="000000"/>
          <w:sz w:val="24"/>
          <w:szCs w:val="24"/>
        </w:rPr>
      </w:pPr>
      <w:r>
        <w:rPr>
          <w:rFonts w:hint="eastAsia" w:ascii="宋体" w:hAnsi="宋体"/>
          <w:color w:val="000000"/>
          <w:sz w:val="24"/>
          <w:szCs w:val="24"/>
        </w:rPr>
        <w:t>3、.维保响应时间：在接到项目采购人报修电话后</w:t>
      </w:r>
      <w:r>
        <w:rPr>
          <w:rFonts w:ascii="宋体" w:hAnsi="宋体"/>
          <w:color w:val="000000"/>
          <w:sz w:val="24"/>
          <w:szCs w:val="24"/>
        </w:rPr>
        <w:t>12</w:t>
      </w:r>
      <w:r>
        <w:rPr>
          <w:rFonts w:hint="eastAsia" w:ascii="宋体" w:hAnsi="宋体"/>
          <w:color w:val="000000"/>
          <w:sz w:val="24"/>
          <w:szCs w:val="24"/>
        </w:rPr>
        <w:t>小时内中标方必须响应，</w:t>
      </w:r>
      <w:r>
        <w:rPr>
          <w:rFonts w:ascii="宋体" w:hAnsi="宋体"/>
          <w:color w:val="000000"/>
          <w:sz w:val="24"/>
          <w:szCs w:val="24"/>
        </w:rPr>
        <w:t>24</w:t>
      </w:r>
      <w:r>
        <w:rPr>
          <w:rFonts w:hint="eastAsia" w:ascii="宋体" w:hAnsi="宋体"/>
          <w:color w:val="000000"/>
          <w:sz w:val="24"/>
          <w:szCs w:val="24"/>
        </w:rPr>
        <w:t>小时内维修人员必须到达现场并维修，非不可抗力情况下</w:t>
      </w:r>
      <w:r>
        <w:rPr>
          <w:rFonts w:ascii="宋体" w:hAnsi="宋体"/>
          <w:color w:val="000000"/>
          <w:sz w:val="24"/>
          <w:szCs w:val="24"/>
        </w:rPr>
        <w:t>48</w:t>
      </w:r>
      <w:r>
        <w:rPr>
          <w:rFonts w:hint="eastAsia" w:ascii="宋体" w:hAnsi="宋体"/>
          <w:color w:val="000000"/>
          <w:sz w:val="24"/>
          <w:szCs w:val="24"/>
        </w:rPr>
        <w:t>小时内必须维保好，或用临时替代机替代，</w:t>
      </w:r>
      <w:r>
        <w:rPr>
          <w:rFonts w:ascii="宋体" w:hAnsi="宋体"/>
          <w:color w:val="000000"/>
          <w:sz w:val="24"/>
          <w:szCs w:val="24"/>
        </w:rPr>
        <w:t>48</w:t>
      </w:r>
      <w:r>
        <w:rPr>
          <w:rFonts w:hint="eastAsia" w:ascii="宋体" w:hAnsi="宋体"/>
          <w:color w:val="000000"/>
          <w:sz w:val="24"/>
          <w:szCs w:val="24"/>
        </w:rPr>
        <w:t>小时内必须保证正常使用。</w:t>
      </w:r>
    </w:p>
    <w:p>
      <w:pPr>
        <w:spacing w:line="360" w:lineRule="auto"/>
        <w:ind w:firstLine="480" w:firstLineChars="200"/>
      </w:pPr>
      <w:r>
        <w:rPr>
          <w:rFonts w:hint="eastAsia" w:ascii="宋体" w:hAnsi="宋体" w:cs="宋体"/>
          <w:sz w:val="24"/>
          <w:szCs w:val="24"/>
        </w:rPr>
        <w:t>4、供货时限：合同签订后，10个工作日内完成交货。</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rPr>
          <w:b/>
          <w:sz w:val="32"/>
        </w:rPr>
      </w:pPr>
      <w:r>
        <w:rPr>
          <w:rFonts w:hint="eastAsia"/>
          <w:b/>
          <w:sz w:val="32"/>
        </w:rPr>
        <w:t>八、综合说明及其它要求：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auto"/>
        <w:ind w:firstLine="480" w:firstLineChars="200"/>
        <w:rPr>
          <w:b/>
          <w:sz w:val="44"/>
          <w:szCs w:val="44"/>
        </w:rPr>
      </w:pPr>
      <w:r>
        <w:rPr>
          <w:rFonts w:hint="eastAsia" w:ascii="宋体" w:hAnsi="宋体" w:cs="宋体"/>
          <w:sz w:val="24"/>
        </w:rPr>
        <w:t>2、凡涉及采购文件的补充说明和修改，均以南邮通达学院公示的补充通知为准。</w:t>
      </w:r>
    </w:p>
    <w:p>
      <w:pPr>
        <w:pStyle w:val="6"/>
        <w:spacing w:line="420" w:lineRule="exact"/>
        <w:rPr>
          <w:b/>
          <w:sz w:val="44"/>
          <w:szCs w:val="44"/>
        </w:rPr>
        <w:sectPr>
          <w:footerReference r:id="rId10" w:type="default"/>
          <w:type w:val="continuous"/>
          <w:pgSz w:w="11906" w:h="16838"/>
          <w:pgMar w:top="1440" w:right="1077" w:bottom="1440" w:left="1077"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6"/>
        <w:adjustRightInd w:val="0"/>
        <w:snapToGrid w:val="0"/>
        <w:spacing w:line="440" w:lineRule="exact"/>
        <w:jc w:val="center"/>
        <w:rPr>
          <w:rFonts w:hAnsi="宋体" w:cs="宋体"/>
          <w:b/>
          <w:sz w:val="44"/>
          <w:szCs w:val="44"/>
        </w:rPr>
      </w:pPr>
    </w:p>
    <w:p>
      <w:pPr>
        <w:tabs>
          <w:tab w:val="left" w:pos="0"/>
          <w:tab w:val="left" w:pos="993"/>
          <w:tab w:val="left" w:pos="1134"/>
        </w:tabs>
        <w:adjustRightInd w:val="0"/>
        <w:snapToGrid w:val="0"/>
        <w:spacing w:line="360" w:lineRule="auto"/>
        <w:ind w:firstLine="480" w:firstLineChars="200"/>
        <w:rPr>
          <w:rFonts w:ascii="宋体" w:hAnsi="宋体"/>
          <w:bCs/>
          <w:snapToGrid w:val="0"/>
          <w:sz w:val="24"/>
        </w:rPr>
      </w:pPr>
      <w:r>
        <w:rPr>
          <w:rFonts w:hint="eastAsia" w:ascii="宋体" w:hAnsi="宋体"/>
          <w:bCs/>
          <w:snapToGrid w:val="0"/>
          <w:sz w:val="24"/>
        </w:rPr>
        <w:t>一、总则</w:t>
      </w:r>
    </w:p>
    <w:p>
      <w:pPr>
        <w:tabs>
          <w:tab w:val="left" w:pos="0"/>
          <w:tab w:val="left" w:pos="600"/>
          <w:tab w:val="left" w:pos="1134"/>
        </w:tabs>
        <w:adjustRightInd w:val="0"/>
        <w:snapToGrid w:val="0"/>
        <w:spacing w:line="38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line="38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shd w:val="clear" w:color="auto" w:fill="FFFFFF"/>
        <w:snapToGrid w:val="0"/>
        <w:spacing w:line="380" w:lineRule="exact"/>
        <w:ind w:firstLine="472" w:firstLineChars="196"/>
        <w:rPr>
          <w:rFonts w:ascii="宋体" w:hAnsi="宋体"/>
          <w:b/>
          <w:bCs/>
          <w:sz w:val="24"/>
          <w:szCs w:val="24"/>
        </w:rPr>
      </w:pPr>
      <w:r>
        <w:rPr>
          <w:rFonts w:hint="eastAsia" w:ascii="宋体" w:hAnsi="宋体"/>
          <w:b/>
          <w:bCs/>
          <w:sz w:val="24"/>
          <w:szCs w:val="24"/>
        </w:rPr>
        <w:t>2.技术参数响应情况(30分)：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25</w:t>
      </w:r>
      <w:r>
        <w:rPr>
          <w:rFonts w:ascii="宋体" w:hAnsi="宋体"/>
          <w:sz w:val="24"/>
          <w:szCs w:val="24"/>
        </w:rPr>
        <w:t>分，</w:t>
      </w:r>
      <w:r>
        <w:rPr>
          <w:rFonts w:hint="eastAsia" w:ascii="宋体" w:hAnsi="宋体"/>
          <w:sz w:val="24"/>
          <w:szCs w:val="24"/>
        </w:rPr>
        <w:t>普通指标</w:t>
      </w:r>
      <w:r>
        <w:rPr>
          <w:rFonts w:ascii="宋体" w:hAnsi="宋体"/>
          <w:sz w:val="24"/>
          <w:szCs w:val="24"/>
        </w:rPr>
        <w:t>负偏离一项扣</w:t>
      </w:r>
      <w:r>
        <w:rPr>
          <w:rFonts w:hint="eastAsia" w:ascii="宋体" w:hAnsi="宋体"/>
          <w:sz w:val="24"/>
          <w:szCs w:val="24"/>
        </w:rPr>
        <w:t>2</w:t>
      </w:r>
      <w:r>
        <w:rPr>
          <w:rFonts w:ascii="宋体" w:hAnsi="宋体"/>
          <w:sz w:val="24"/>
          <w:szCs w:val="24"/>
        </w:rPr>
        <w:t>分</w:t>
      </w:r>
      <w:r>
        <w:rPr>
          <w:rFonts w:hint="eastAsia" w:ascii="宋体" w:hAnsi="宋体"/>
          <w:sz w:val="24"/>
          <w:szCs w:val="24"/>
        </w:rPr>
        <w:t>，</w:t>
      </w:r>
      <w:r>
        <w:rPr>
          <w:rFonts w:ascii="宋体" w:hAnsi="宋体"/>
          <w:sz w:val="24"/>
          <w:szCs w:val="24"/>
        </w:rPr>
        <w:t>正偏离一项加1分（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30</w:t>
      </w:r>
      <w:r>
        <w:rPr>
          <w:rFonts w:ascii="宋体" w:hAnsi="宋体"/>
          <w:sz w:val="24"/>
          <w:szCs w:val="24"/>
        </w:rPr>
        <w:t>分。有</w:t>
      </w:r>
      <w:r>
        <w:rPr>
          <w:rFonts w:hint="eastAsia" w:ascii="宋体" w:hAnsi="宋体"/>
          <w:sz w:val="24"/>
          <w:szCs w:val="24"/>
        </w:rPr>
        <w:t>五</w:t>
      </w:r>
      <w:r>
        <w:rPr>
          <w:rFonts w:ascii="宋体" w:hAnsi="宋体"/>
          <w:sz w:val="24"/>
          <w:szCs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3.售后服务（14分）</w:t>
      </w:r>
    </w:p>
    <w:p>
      <w:pPr>
        <w:snapToGrid w:val="0"/>
        <w:spacing w:line="360" w:lineRule="auto"/>
        <w:ind w:firstLine="480" w:firstLineChars="200"/>
        <w:rPr>
          <w:rFonts w:ascii="宋体" w:hAnsi="宋体"/>
          <w:sz w:val="24"/>
        </w:rPr>
      </w:pPr>
      <w:r>
        <w:rPr>
          <w:rFonts w:hint="eastAsia" w:ascii="宋体" w:hAnsi="宋体"/>
          <w:sz w:val="24"/>
        </w:rPr>
        <w:t>（1）免费质保及维保期内及期后服务方案：如服务体系、服务内容、故障解决方案等，最优的得4分；</w:t>
      </w:r>
    </w:p>
    <w:p>
      <w:pPr>
        <w:snapToGrid w:val="0"/>
        <w:spacing w:line="360" w:lineRule="auto"/>
        <w:ind w:firstLine="480" w:firstLineChars="200"/>
        <w:rPr>
          <w:rFonts w:ascii="宋体" w:hAnsi="宋体"/>
          <w:sz w:val="24"/>
        </w:rPr>
      </w:pPr>
      <w:r>
        <w:rPr>
          <w:rFonts w:hint="eastAsia" w:ascii="宋体" w:hAnsi="宋体"/>
          <w:sz w:val="24"/>
        </w:rPr>
        <w:t>(2)免费质保期满足招标文件需求，得3分；免费维保期每延长1年，加2分，最高加4分；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 xml:space="preserve">   （3）免费质保及维保期结束后，继续提供优惠维修及更换损坏配件的，维修及配件（原配件）费用报价优惠合理的得3分。</w:t>
      </w:r>
    </w:p>
    <w:p>
      <w:pPr>
        <w:tabs>
          <w:tab w:val="left" w:pos="0"/>
          <w:tab w:val="left" w:pos="600"/>
          <w:tab w:val="left" w:pos="993"/>
          <w:tab w:val="left" w:pos="1134"/>
        </w:tabs>
        <w:adjustRightInd w:val="0"/>
        <w:snapToGrid w:val="0"/>
        <w:spacing w:line="380" w:lineRule="exact"/>
        <w:ind w:firstLine="472" w:firstLineChars="196"/>
        <w:jc w:val="left"/>
        <w:rPr>
          <w:rFonts w:ascii="宋体" w:hAnsi="宋体"/>
          <w:b/>
          <w:sz w:val="24"/>
        </w:rPr>
      </w:pPr>
      <w:r>
        <w:rPr>
          <w:rFonts w:hint="eastAsia" w:ascii="宋体" w:hAnsi="宋体"/>
          <w:b/>
          <w:sz w:val="24"/>
        </w:rPr>
        <w:t xml:space="preserve"> 4.投标人履行合同的能力及业绩（8分）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（1）主要对投标人的资质情况、银行资信、经营状况等进行评价。（2分）</w:t>
      </w:r>
    </w:p>
    <w:p>
      <w:pPr>
        <w:tabs>
          <w:tab w:val="left" w:pos="0"/>
          <w:tab w:val="left" w:pos="600"/>
          <w:tab w:val="left" w:pos="993"/>
          <w:tab w:val="left" w:pos="1134"/>
        </w:tabs>
        <w:adjustRightInd w:val="0"/>
        <w:snapToGrid w:val="0"/>
        <w:spacing w:line="380" w:lineRule="exact"/>
        <w:jc w:val="left"/>
        <w:rPr>
          <w:rFonts w:ascii="宋体" w:hAnsi="宋体"/>
          <w:sz w:val="24"/>
          <w:szCs w:val="24"/>
        </w:rPr>
      </w:pPr>
      <w:r>
        <w:rPr>
          <w:rFonts w:hint="eastAsia" w:ascii="宋体" w:hAnsi="宋体"/>
          <w:sz w:val="24"/>
          <w:szCs w:val="24"/>
        </w:rPr>
        <w:t>（2）品牌分：推荐</w:t>
      </w:r>
      <w:r>
        <w:rPr>
          <w:rFonts w:hint="eastAsia" w:ascii="宋体" w:hAnsi="宋体"/>
          <w:color w:val="000000"/>
          <w:sz w:val="24"/>
          <w:szCs w:val="24"/>
        </w:rPr>
        <w:t>格力、美的、海尔。</w:t>
      </w:r>
      <w:r>
        <w:rPr>
          <w:rFonts w:hint="eastAsia" w:ascii="宋体" w:hAnsi="宋体"/>
          <w:sz w:val="24"/>
          <w:szCs w:val="24"/>
        </w:rPr>
        <w:t>(3分)</w:t>
      </w:r>
    </w:p>
    <w:p>
      <w:pPr>
        <w:tabs>
          <w:tab w:val="left" w:pos="0"/>
          <w:tab w:val="left" w:pos="600"/>
          <w:tab w:val="left" w:pos="993"/>
          <w:tab w:val="left" w:pos="1134"/>
        </w:tabs>
        <w:adjustRightInd w:val="0"/>
        <w:snapToGrid w:val="0"/>
        <w:spacing w:line="380" w:lineRule="exact"/>
        <w:jc w:val="left"/>
        <w:rPr>
          <w:rFonts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每个合同得（提供复印件即可，原件备查）1分，最高3分。(3分)</w:t>
      </w:r>
    </w:p>
    <w:p>
      <w:pPr>
        <w:tabs>
          <w:tab w:val="left" w:pos="0"/>
          <w:tab w:val="left" w:pos="600"/>
          <w:tab w:val="left" w:pos="993"/>
          <w:tab w:val="left" w:pos="1134"/>
        </w:tabs>
        <w:adjustRightInd w:val="0"/>
        <w:snapToGrid w:val="0"/>
        <w:spacing w:line="380" w:lineRule="exact"/>
        <w:ind w:firstLine="472" w:firstLineChars="196"/>
        <w:jc w:val="left"/>
        <w:rPr>
          <w:rFonts w:ascii="宋体" w:hAnsi="宋体"/>
          <w:b/>
          <w:sz w:val="24"/>
        </w:rPr>
      </w:pPr>
      <w:r>
        <w:rPr>
          <w:rFonts w:hint="eastAsia" w:hAnsi="宋体"/>
          <w:b/>
          <w:sz w:val="24"/>
        </w:rPr>
        <w:t xml:space="preserve"> 5.样品质量分</w:t>
      </w:r>
      <w:r>
        <w:rPr>
          <w:rFonts w:hint="eastAsia" w:ascii="宋体" w:hAnsi="宋体"/>
          <w:b/>
          <w:sz w:val="24"/>
        </w:rPr>
        <w:t>（8分）</w:t>
      </w:r>
    </w:p>
    <w:p>
      <w:pPr>
        <w:tabs>
          <w:tab w:val="left" w:pos="0"/>
          <w:tab w:val="left" w:pos="600"/>
          <w:tab w:val="left" w:pos="993"/>
          <w:tab w:val="left" w:pos="1134"/>
        </w:tabs>
        <w:adjustRightInd w:val="0"/>
        <w:snapToGrid w:val="0"/>
        <w:spacing w:line="380" w:lineRule="exact"/>
        <w:ind w:firstLine="470" w:firstLineChars="196"/>
        <w:jc w:val="left"/>
        <w:rPr>
          <w:rFonts w:ascii="宋体" w:hAnsi="宋体"/>
          <w:bCs/>
          <w:sz w:val="24"/>
          <w:szCs w:val="24"/>
        </w:rPr>
      </w:pPr>
      <w:r>
        <w:rPr>
          <w:rFonts w:hint="eastAsia" w:ascii="宋体" w:hAnsi="宋体"/>
          <w:sz w:val="24"/>
        </w:rPr>
        <w:t>专家根据样品酌情给分。</w:t>
      </w: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6"/>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671244"/>
      <w:bookmarkEnd w:id="30"/>
      <w:bookmarkStart w:id="31" w:name="_Hlt26955039"/>
      <w:bookmarkEnd w:id="31"/>
      <w:bookmarkStart w:id="32" w:name="_Toc49090576"/>
      <w:bookmarkStart w:id="33" w:name="_Toc120614282"/>
      <w:bookmarkStart w:id="34"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5"/>
      <w:bookmarkStart w:id="37" w:name="_Hlt26671380"/>
      <w:bookmarkEnd w:id="37"/>
      <w:bookmarkStart w:id="38" w:name="_格式3__银行出具的资信证明"/>
      <w:bookmarkEnd w:id="38"/>
      <w:bookmarkStart w:id="39" w:name="_Hlt26955070"/>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1"/>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1"/>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120614283"/>
      <w:bookmarkStart w:id="43" w:name="_Toc49090577"/>
      <w:bookmarkStart w:id="44" w:name="_Toc22356580"/>
      <w:bookmarkStart w:id="45" w:name="_Toc460901585"/>
      <w:bookmarkStart w:id="46" w:name="_Toc26554095"/>
      <w:bookmarkStart w:id="47" w:name="_Toc23828478"/>
      <w:bookmarkStart w:id="48" w:name="_Toc513029276"/>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1"/>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p>
                <w:pPr>
                  <w:snapToGrid w:val="0"/>
                  <w:rPr>
                    <w:sz w:val="18"/>
                  </w:rPr>
                </w:pPr>
              </w:p>
              <w:p>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2479A"/>
    <w:multiLevelType w:val="singleLevel"/>
    <w:tmpl w:val="3C52479A"/>
    <w:lvl w:ilvl="0" w:tentative="0">
      <w:start w:val="5"/>
      <w:numFmt w:val="chineseCounting"/>
      <w:suff w:val="nothing"/>
      <w:lvlText w:val="%1、"/>
      <w:lvlJc w:val="left"/>
      <w:rPr>
        <w:rFonts w:hint="eastAsia"/>
      </w:rPr>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lvlOverride w:ilvl="0">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2317A"/>
    <w:rsid w:val="0003306C"/>
    <w:rsid w:val="00040340"/>
    <w:rsid w:val="00062020"/>
    <w:rsid w:val="00072DCA"/>
    <w:rsid w:val="00080104"/>
    <w:rsid w:val="00080AB0"/>
    <w:rsid w:val="00091B92"/>
    <w:rsid w:val="00091EC2"/>
    <w:rsid w:val="00097893"/>
    <w:rsid w:val="000A0FEC"/>
    <w:rsid w:val="000B00C9"/>
    <w:rsid w:val="000B0947"/>
    <w:rsid w:val="000B384E"/>
    <w:rsid w:val="000C1A8D"/>
    <w:rsid w:val="000D17E1"/>
    <w:rsid w:val="000D4C88"/>
    <w:rsid w:val="000D4D3C"/>
    <w:rsid w:val="000E0BA6"/>
    <w:rsid w:val="00100B40"/>
    <w:rsid w:val="00102369"/>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71A9"/>
    <w:rsid w:val="00365302"/>
    <w:rsid w:val="0036707D"/>
    <w:rsid w:val="00374CBD"/>
    <w:rsid w:val="00384ED8"/>
    <w:rsid w:val="0039133A"/>
    <w:rsid w:val="003A6EB9"/>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85C36"/>
    <w:rsid w:val="00491D03"/>
    <w:rsid w:val="004C222A"/>
    <w:rsid w:val="004C4E45"/>
    <w:rsid w:val="004C5684"/>
    <w:rsid w:val="004D0EA0"/>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F2EBB"/>
    <w:rsid w:val="00614CBB"/>
    <w:rsid w:val="00616A41"/>
    <w:rsid w:val="00622ED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C5E75"/>
    <w:rsid w:val="006D7AD1"/>
    <w:rsid w:val="006E55A1"/>
    <w:rsid w:val="006E7262"/>
    <w:rsid w:val="007024E5"/>
    <w:rsid w:val="007061E3"/>
    <w:rsid w:val="00712BE6"/>
    <w:rsid w:val="007130BE"/>
    <w:rsid w:val="00720492"/>
    <w:rsid w:val="007235F4"/>
    <w:rsid w:val="00731599"/>
    <w:rsid w:val="00735F31"/>
    <w:rsid w:val="00737238"/>
    <w:rsid w:val="0074490F"/>
    <w:rsid w:val="007637CA"/>
    <w:rsid w:val="00763DD1"/>
    <w:rsid w:val="00771B4F"/>
    <w:rsid w:val="007A0A8E"/>
    <w:rsid w:val="007A104C"/>
    <w:rsid w:val="007A6C1C"/>
    <w:rsid w:val="007B06B5"/>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772D9"/>
    <w:rsid w:val="00883E60"/>
    <w:rsid w:val="00896934"/>
    <w:rsid w:val="008B64DC"/>
    <w:rsid w:val="008C66D5"/>
    <w:rsid w:val="008D0FDF"/>
    <w:rsid w:val="008D416A"/>
    <w:rsid w:val="008E7987"/>
    <w:rsid w:val="008F3663"/>
    <w:rsid w:val="008F6CCD"/>
    <w:rsid w:val="00905EA5"/>
    <w:rsid w:val="009060E3"/>
    <w:rsid w:val="00916967"/>
    <w:rsid w:val="00926F30"/>
    <w:rsid w:val="00940B78"/>
    <w:rsid w:val="009443F3"/>
    <w:rsid w:val="009471D3"/>
    <w:rsid w:val="00951650"/>
    <w:rsid w:val="00955313"/>
    <w:rsid w:val="0096756B"/>
    <w:rsid w:val="00972839"/>
    <w:rsid w:val="00975FA8"/>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313B"/>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C1357"/>
    <w:rsid w:val="00DD089B"/>
    <w:rsid w:val="00DE6300"/>
    <w:rsid w:val="00E13C99"/>
    <w:rsid w:val="00E23BC3"/>
    <w:rsid w:val="00E25CB3"/>
    <w:rsid w:val="00E63ACB"/>
    <w:rsid w:val="00E646F2"/>
    <w:rsid w:val="00E65DEA"/>
    <w:rsid w:val="00E77D96"/>
    <w:rsid w:val="00E80E71"/>
    <w:rsid w:val="00E824AB"/>
    <w:rsid w:val="00E96D21"/>
    <w:rsid w:val="00EA554F"/>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51C63DB"/>
    <w:rsid w:val="07CE59AE"/>
    <w:rsid w:val="08C44714"/>
    <w:rsid w:val="155B04F3"/>
    <w:rsid w:val="1AD06E38"/>
    <w:rsid w:val="22AA75BF"/>
    <w:rsid w:val="22F4719C"/>
    <w:rsid w:val="33F14299"/>
    <w:rsid w:val="35C43E65"/>
    <w:rsid w:val="4AB7578D"/>
    <w:rsid w:val="5A036AB3"/>
    <w:rsid w:val="63F26487"/>
    <w:rsid w:val="685F3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99"/>
    <w:rPr>
      <w:rFonts w:ascii="宋体" w:hAnsi="Courier New" w:cs="Courier New"/>
    </w:rPr>
  </w:style>
  <w:style w:type="paragraph" w:styleId="7">
    <w:name w:val="Balloon Text"/>
    <w:basedOn w:val="1"/>
    <w:link w:val="30"/>
    <w:semiHidden/>
    <w:unhideWhenUsed/>
    <w:qFormat/>
    <w:uiPriority w:val="99"/>
    <w:rPr>
      <w:sz w:val="18"/>
      <w:szCs w:val="18"/>
    </w:rPr>
  </w:style>
  <w:style w:type="paragraph" w:styleId="8">
    <w:name w:val="footer"/>
    <w:basedOn w:val="1"/>
    <w:link w:val="18"/>
    <w:qFormat/>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标题 2 Char"/>
    <w:basedOn w:val="13"/>
    <w:link w:val="2"/>
    <w:qFormat/>
    <w:uiPriority w:val="0"/>
    <w:rPr>
      <w:rFonts w:ascii="Arial" w:hAnsi="Arial" w:eastAsia="幼圆" w:cs="Arial"/>
      <w:b/>
      <w:bCs/>
      <w:sz w:val="44"/>
      <w:szCs w:val="44"/>
    </w:rPr>
  </w:style>
  <w:style w:type="character" w:customStyle="1" w:styleId="16">
    <w:name w:val="标题 3 Char"/>
    <w:basedOn w:val="13"/>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99"/>
    <w:rPr>
      <w:rFonts w:ascii="宋体" w:hAnsi="Courier New" w:eastAsia="宋体" w:cs="Courier New"/>
      <w:szCs w:val="21"/>
    </w:rPr>
  </w:style>
  <w:style w:type="character" w:customStyle="1" w:styleId="18">
    <w:name w:val="页脚 Char"/>
    <w:link w:val="8"/>
    <w:qFormat/>
    <w:uiPriority w:val="0"/>
    <w:rPr>
      <w:rFonts w:eastAsia="宋体"/>
      <w:sz w:val="18"/>
      <w:szCs w:val="18"/>
    </w:rPr>
  </w:style>
  <w:style w:type="character" w:customStyle="1" w:styleId="19">
    <w:name w:val="页眉 Char"/>
    <w:link w:val="9"/>
    <w:qFormat/>
    <w:uiPriority w:val="0"/>
    <w:rPr>
      <w:sz w:val="18"/>
      <w:szCs w:val="18"/>
    </w:rPr>
  </w:style>
  <w:style w:type="character" w:customStyle="1" w:styleId="20">
    <w:name w:val="纯文本 Char1"/>
    <w:basedOn w:val="13"/>
    <w:semiHidden/>
    <w:qFormat/>
    <w:uiPriority w:val="99"/>
    <w:rPr>
      <w:rFonts w:ascii="宋体" w:hAnsi="Courier New" w:eastAsia="宋体" w:cs="Courier New"/>
      <w:szCs w:val="21"/>
    </w:rPr>
  </w:style>
  <w:style w:type="character" w:customStyle="1" w:styleId="21">
    <w:name w:val="页眉 Char1"/>
    <w:basedOn w:val="13"/>
    <w:semiHidden/>
    <w:qFormat/>
    <w:uiPriority w:val="99"/>
    <w:rPr>
      <w:rFonts w:ascii="Times New Roman" w:hAnsi="Times New Roman" w:eastAsia="宋体" w:cs="Times New Roman"/>
      <w:sz w:val="18"/>
      <w:szCs w:val="18"/>
    </w:rPr>
  </w:style>
  <w:style w:type="character" w:customStyle="1" w:styleId="22">
    <w:name w:val="页脚 Char1"/>
    <w:basedOn w:val="13"/>
    <w:semiHidden/>
    <w:qFormat/>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qFormat/>
    <w:uiPriority w:val="0"/>
    <w:pPr>
      <w:tabs>
        <w:tab w:val="left" w:pos="360"/>
      </w:tabs>
    </w:pPr>
    <w:rPr>
      <w:sz w:val="24"/>
      <w:szCs w:val="24"/>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link w:val="33"/>
    <w:qFormat/>
    <w:uiPriority w:val="34"/>
    <w:pPr>
      <w:ind w:firstLine="420" w:firstLineChars="200"/>
    </w:pPr>
  </w:style>
  <w:style w:type="character" w:customStyle="1" w:styleId="30">
    <w:name w:val="批注框文本 Char"/>
    <w:basedOn w:val="13"/>
    <w:link w:val="7"/>
    <w:semiHidden/>
    <w:qFormat/>
    <w:uiPriority w:val="99"/>
    <w:rPr>
      <w:rFonts w:ascii="Times New Roman" w:hAnsi="Times New Roman" w:eastAsia="宋体" w:cs="Times New Roman"/>
      <w:kern w:val="2"/>
      <w:sz w:val="18"/>
      <w:szCs w:val="18"/>
    </w:rPr>
  </w:style>
  <w:style w:type="character" w:customStyle="1" w:styleId="31">
    <w:name w:val="批注文字 Char"/>
    <w:basedOn w:val="13"/>
    <w:link w:val="5"/>
    <w:qFormat/>
    <w:uiPriority w:val="0"/>
    <w:rPr>
      <w:rFonts w:ascii="Times New Roman" w:hAnsi="Times New Roman" w:eastAsia="宋体" w:cs="Times New Roman"/>
      <w:kern w:val="2"/>
      <w:sz w:val="21"/>
      <w:szCs w:val="21"/>
    </w:rPr>
  </w:style>
  <w:style w:type="paragraph" w:customStyle="1" w:styleId="32">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3">
    <w:name w:val="列出段落 Char"/>
    <w:link w:val="29"/>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2257</Words>
  <Characters>12868</Characters>
  <Lines>107</Lines>
  <Paragraphs>30</Paragraphs>
  <TotalTime>16</TotalTime>
  <ScaleCrop>false</ScaleCrop>
  <LinksUpToDate>false</LinksUpToDate>
  <CharactersWithSpaces>15095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Administrator</cp:lastModifiedBy>
  <cp:lastPrinted>2018-04-19T08:54:00Z</cp:lastPrinted>
  <dcterms:modified xsi:type="dcterms:W3CDTF">2019-10-25T01:46:50Z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